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B8" w:rsidRDefault="00135EB8" w:rsidP="00406CB6">
      <w:pPr>
        <w:pStyle w:val="1Heading"/>
      </w:pPr>
    </w:p>
    <w:p w:rsidR="00135EB8" w:rsidRDefault="00135EB8" w:rsidP="00406CB6">
      <w:pPr>
        <w:pStyle w:val="1Heading"/>
      </w:pPr>
    </w:p>
    <w:p w:rsidR="00D77B0B" w:rsidRPr="00406CB6" w:rsidRDefault="003C0768" w:rsidP="00406CB6">
      <w:pPr>
        <w:pStyle w:val="1Heading"/>
      </w:pPr>
      <w:r>
        <w:t>Education Information: Placement Students</w:t>
      </w:r>
    </w:p>
    <w:p w:rsidR="003C0768" w:rsidRDefault="003C0768" w:rsidP="003C0768">
      <w:pPr>
        <w:pStyle w:val="1Subhead"/>
        <w:rPr>
          <w:lang w:eastAsia="en-GB"/>
        </w:rPr>
      </w:pPr>
      <w:r>
        <w:rPr>
          <w:lang w:eastAsia="en-GB"/>
        </w:rPr>
        <w:t>Summary</w:t>
      </w:r>
    </w:p>
    <w:p w:rsidR="003C0768" w:rsidRDefault="003C0768" w:rsidP="003C0768">
      <w:pPr>
        <w:pStyle w:val="1NUSbodycopy"/>
        <w:rPr>
          <w:sz w:val="24"/>
          <w:lang w:eastAsia="en-GB"/>
        </w:rPr>
      </w:pPr>
      <w:r>
        <w:rPr>
          <w:lang w:eastAsia="en-GB"/>
        </w:rPr>
        <w:t xml:space="preserve">1. This Education Information provides a brief summary about the HEFCE Report Attainment in Higher Education: Erasmus and Placement Students, this EI focuses on the placement students. </w:t>
      </w:r>
    </w:p>
    <w:p w:rsidR="003C0768" w:rsidRDefault="003C0768" w:rsidP="003C0768">
      <w:pPr>
        <w:pStyle w:val="1Subhead"/>
        <w:rPr>
          <w:lang w:eastAsia="en-GB"/>
        </w:rPr>
      </w:pPr>
      <w:r>
        <w:rPr>
          <w:lang w:eastAsia="en-GB"/>
        </w:rPr>
        <w:t xml:space="preserve">Background </w:t>
      </w:r>
    </w:p>
    <w:p w:rsidR="003C0768" w:rsidRDefault="003C0768" w:rsidP="003C0768">
      <w:pPr>
        <w:pStyle w:val="1NUSbodycopy"/>
        <w:rPr>
          <w:sz w:val="24"/>
          <w:lang w:eastAsia="en-GB"/>
        </w:rPr>
      </w:pPr>
      <w:r>
        <w:rPr>
          <w:lang w:eastAsia="en-GB"/>
        </w:rPr>
        <w:t xml:space="preserve">2. The QAA Outcomes of Institutional Audit – Work-based and placement learning, and employability highlighted the importance of support for placement students whilst they are on placement as well as the need for clear and consistent policies for careers guidance. For more information see EI/08/018: </w:t>
      </w:r>
      <w:r>
        <w:rPr>
          <w:color w:val="0000FF"/>
          <w:lang w:eastAsia="en-GB"/>
        </w:rPr>
        <w:t>http://resource.nusonline.co.uk/medi</w:t>
      </w:r>
      <w:r>
        <w:rPr>
          <w:color w:val="0000FF"/>
          <w:lang w:eastAsia="en-GB"/>
        </w:rPr>
        <w:t>a/resource/EI%20Employability.p</w:t>
      </w:r>
      <w:r>
        <w:rPr>
          <w:color w:val="0000FF"/>
          <w:lang w:eastAsia="en-GB"/>
        </w:rPr>
        <w:t xml:space="preserve">df </w:t>
      </w:r>
    </w:p>
    <w:p w:rsidR="003C0768" w:rsidRDefault="003C0768" w:rsidP="003C0768">
      <w:pPr>
        <w:pStyle w:val="1Subhead"/>
        <w:rPr>
          <w:lang w:eastAsia="en-GB"/>
        </w:rPr>
      </w:pPr>
      <w:r>
        <w:rPr>
          <w:lang w:eastAsia="en-GB"/>
        </w:rPr>
        <w:t xml:space="preserve">Placements </w:t>
      </w:r>
    </w:p>
    <w:p w:rsidR="003C0768" w:rsidRDefault="003C0768" w:rsidP="003C0768">
      <w:pPr>
        <w:pStyle w:val="1NUSbodycopy"/>
        <w:rPr>
          <w:sz w:val="24"/>
          <w:lang w:eastAsia="en-GB"/>
        </w:rPr>
      </w:pPr>
      <w:r>
        <w:rPr>
          <w:lang w:eastAsia="en-GB"/>
        </w:rPr>
        <w:t xml:space="preserve">3. First degree placement courses (sometimes referred to as ‘sandwich’ courses) also involve a component where the student spends some time away from solely academic work. They typically involve an extra period of work experience that falls between two periods of academic study. During this placement, the student goes on work experience with an employer in an industry relevant to their degree studies, whether in the UK or abroad. The work experience normally takes place in the third year of their degree studies, and is </w:t>
      </w:r>
      <w:proofErr w:type="spellStart"/>
      <w:r>
        <w:rPr>
          <w:lang w:eastAsia="en-GB"/>
        </w:rPr>
        <w:t>recognised</w:t>
      </w:r>
      <w:proofErr w:type="spellEnd"/>
      <w:r>
        <w:rPr>
          <w:lang w:eastAsia="en-GB"/>
        </w:rPr>
        <w:t xml:space="preserve"> in their qualification. </w:t>
      </w:r>
    </w:p>
    <w:p w:rsidR="003C0768" w:rsidRDefault="003C0768" w:rsidP="003C0768">
      <w:pPr>
        <w:pStyle w:val="1NUSbodycopy"/>
        <w:rPr>
          <w:sz w:val="24"/>
          <w:lang w:eastAsia="en-GB"/>
        </w:rPr>
      </w:pPr>
      <w:r>
        <w:rPr>
          <w:lang w:eastAsia="en-GB"/>
        </w:rPr>
        <w:t xml:space="preserve">4. There are also placement courses that involve one or more periods of work experience lasting less than a year. There will often be more than one period during the course, in different years. </w:t>
      </w:r>
    </w:p>
    <w:p w:rsidR="003C0768" w:rsidRDefault="003C0768" w:rsidP="003C0768">
      <w:pPr>
        <w:pStyle w:val="1Subhead"/>
        <w:rPr>
          <w:lang w:eastAsia="en-GB"/>
        </w:rPr>
      </w:pPr>
      <w:r>
        <w:rPr>
          <w:lang w:eastAsia="en-GB"/>
        </w:rPr>
        <w:t xml:space="preserve">Characteristics of placement students </w:t>
      </w:r>
    </w:p>
    <w:p w:rsidR="003C0768" w:rsidRDefault="003C0768" w:rsidP="003C0768">
      <w:pPr>
        <w:pStyle w:val="1NUSbodycopy"/>
        <w:rPr>
          <w:sz w:val="24"/>
          <w:lang w:eastAsia="en-GB"/>
        </w:rPr>
      </w:pPr>
      <w:r>
        <w:rPr>
          <w:lang w:eastAsia="en-GB"/>
        </w:rPr>
        <w:t xml:space="preserve">5. Of the 203,275 students who started a full-time </w:t>
      </w:r>
      <w:proofErr w:type="gramStart"/>
      <w:r>
        <w:rPr>
          <w:lang w:eastAsia="en-GB"/>
        </w:rPr>
        <w:t>first degree</w:t>
      </w:r>
      <w:proofErr w:type="gramEnd"/>
      <w:r>
        <w:rPr>
          <w:lang w:eastAsia="en-GB"/>
        </w:rPr>
        <w:t xml:space="preserve"> course in 2002-03 and went on to gain a first degree within five years, 8 per cent did a placement. </w:t>
      </w:r>
    </w:p>
    <w:p w:rsidR="003C0768" w:rsidRDefault="003C0768" w:rsidP="003C0768">
      <w:pPr>
        <w:pStyle w:val="1NUSbodycopy"/>
        <w:rPr>
          <w:sz w:val="24"/>
          <w:lang w:eastAsia="en-GB"/>
        </w:rPr>
      </w:pPr>
      <w:r>
        <w:rPr>
          <w:lang w:eastAsia="en-GB"/>
        </w:rPr>
        <w:t xml:space="preserve">6. The overwhelming majority of entrants who did a placement in the UK (92 per cent) did so for a whole academic year. </w:t>
      </w:r>
    </w:p>
    <w:p w:rsidR="003C0768" w:rsidRDefault="003C0768" w:rsidP="003C0768">
      <w:pPr>
        <w:pStyle w:val="1NUSbodycopy"/>
        <w:rPr>
          <w:sz w:val="24"/>
          <w:lang w:eastAsia="en-GB"/>
        </w:rPr>
      </w:pPr>
      <w:r>
        <w:rPr>
          <w:lang w:eastAsia="en-GB"/>
        </w:rPr>
        <w:t xml:space="preserve">7. Of those who undertook a placement year, four out of five studied business, science or engineering. </w:t>
      </w:r>
    </w:p>
    <w:p w:rsidR="003C0768" w:rsidRDefault="003C0768" w:rsidP="003C0768">
      <w:pPr>
        <w:pStyle w:val="1NUSbodycopy"/>
        <w:rPr>
          <w:sz w:val="24"/>
          <w:lang w:eastAsia="en-GB"/>
        </w:rPr>
      </w:pPr>
      <w:r>
        <w:rPr>
          <w:lang w:eastAsia="en-GB"/>
        </w:rPr>
        <w:t xml:space="preserve">8. Students were more likely to be male with just 45 per cent of the placement year students being female compared to the average for all entrants in the cohort of 56 per cent. </w:t>
      </w:r>
    </w:p>
    <w:p w:rsidR="00135EB8" w:rsidRPr="003C0768" w:rsidRDefault="003C0768" w:rsidP="00135EB8">
      <w:pPr>
        <w:pStyle w:val="1NUSbodycopy"/>
        <w:rPr>
          <w:sz w:val="24"/>
          <w:lang w:eastAsia="en-GB"/>
        </w:rPr>
      </w:pPr>
      <w:r>
        <w:rPr>
          <w:lang w:eastAsia="en-GB"/>
        </w:rPr>
        <w:t xml:space="preserve">9. 7 per cent of those who did a year placement were aged over 20 when they started their course, compared to the average (14 per cent) of all entrants in the cohort. </w:t>
      </w:r>
    </w:p>
    <w:p w:rsidR="003C0768" w:rsidRDefault="003C0768" w:rsidP="003C0768">
      <w:pPr>
        <w:pStyle w:val="1NUSbodycopy"/>
        <w:rPr>
          <w:sz w:val="24"/>
          <w:lang w:eastAsia="en-GB"/>
        </w:rPr>
      </w:pPr>
      <w:r>
        <w:rPr>
          <w:lang w:eastAsia="en-GB"/>
        </w:rPr>
        <w:t xml:space="preserve">10. They were more likely to be from an ethnic minority. The proportion of UK domiciled students who came from non-White ethnic groups was 17 per cent for placement year students compared to an average of 14 per cent across all students in the cohort. </w:t>
      </w:r>
    </w:p>
    <w:p w:rsidR="003C0768" w:rsidRDefault="003C0768" w:rsidP="003C0768">
      <w:pPr>
        <w:pStyle w:val="1NUSbodycopy"/>
        <w:rPr>
          <w:sz w:val="24"/>
          <w:lang w:eastAsia="en-GB"/>
        </w:rPr>
      </w:pPr>
      <w:r>
        <w:rPr>
          <w:lang w:eastAsia="en-GB"/>
        </w:rPr>
        <w:t xml:space="preserve">11. Placement students were more likely to be from lower socio-economic classes. 70 per cent of the placement year students came from socio-economic classes 1-3 (managerial, professional and intermediate occupations). The proportion across all young students in the cohort was 74 per cent. </w:t>
      </w:r>
    </w:p>
    <w:p w:rsidR="00EE48AA" w:rsidRDefault="00EE48AA" w:rsidP="00406CB6">
      <w:pPr>
        <w:pStyle w:val="1NUSbodycopy"/>
      </w:pPr>
    </w:p>
    <w:p w:rsidR="00EE48AA" w:rsidRDefault="00EE48AA" w:rsidP="00406CB6">
      <w:pPr>
        <w:pStyle w:val="1NUSbodycopy"/>
      </w:pPr>
    </w:p>
    <w:p w:rsidR="003C0768" w:rsidRDefault="003C0768" w:rsidP="003C0768">
      <w:pPr>
        <w:pStyle w:val="1Subhead"/>
        <w:rPr>
          <w:lang w:eastAsia="en-GB"/>
        </w:rPr>
      </w:pPr>
      <w:r>
        <w:rPr>
          <w:lang w:eastAsia="en-GB"/>
        </w:rPr>
        <w:lastRenderedPageBreak/>
        <w:t xml:space="preserve">Numbers of placement students </w:t>
      </w:r>
    </w:p>
    <w:tbl>
      <w:tblPr>
        <w:tblStyle w:val="TableGrid"/>
        <w:tblW w:w="0" w:type="auto"/>
        <w:tblLook w:val="04A0" w:firstRow="1" w:lastRow="0" w:firstColumn="1" w:lastColumn="0" w:noHBand="0" w:noVBand="1"/>
      </w:tblPr>
      <w:tblGrid>
        <w:gridCol w:w="1546"/>
        <w:gridCol w:w="1546"/>
        <w:gridCol w:w="1547"/>
        <w:gridCol w:w="1547"/>
        <w:gridCol w:w="1547"/>
        <w:gridCol w:w="1547"/>
      </w:tblGrid>
      <w:tr w:rsidR="003C0768" w:rsidTr="003C0768">
        <w:tc>
          <w:tcPr>
            <w:tcW w:w="1546" w:type="dxa"/>
          </w:tcPr>
          <w:p w:rsidR="003C0768" w:rsidRDefault="003C0768" w:rsidP="00406CB6">
            <w:pPr>
              <w:pStyle w:val="1NUSbodycopy"/>
            </w:pPr>
            <w:r>
              <w:t>2002/03 Work Placement Mobility:</w:t>
            </w:r>
            <w:r>
              <w:br/>
              <w:t>Numbers</w:t>
            </w:r>
          </w:p>
        </w:tc>
        <w:tc>
          <w:tcPr>
            <w:tcW w:w="1546" w:type="dxa"/>
          </w:tcPr>
          <w:p w:rsidR="003C0768" w:rsidRPr="003C0768" w:rsidRDefault="003C0768" w:rsidP="00406CB6">
            <w:pPr>
              <w:pStyle w:val="1NUSbodycopy"/>
              <w:rPr>
                <w:b/>
              </w:rPr>
            </w:pPr>
            <w:r>
              <w:rPr>
                <w:b/>
              </w:rPr>
              <w:t>England</w:t>
            </w:r>
          </w:p>
        </w:tc>
        <w:tc>
          <w:tcPr>
            <w:tcW w:w="1547" w:type="dxa"/>
          </w:tcPr>
          <w:p w:rsidR="003C0768" w:rsidRPr="003C0768" w:rsidRDefault="003C0768" w:rsidP="00406CB6">
            <w:pPr>
              <w:pStyle w:val="1NUSbodycopy"/>
              <w:rPr>
                <w:b/>
              </w:rPr>
            </w:pPr>
            <w:r>
              <w:rPr>
                <w:b/>
              </w:rPr>
              <w:t>Scotland</w:t>
            </w:r>
          </w:p>
        </w:tc>
        <w:tc>
          <w:tcPr>
            <w:tcW w:w="1547" w:type="dxa"/>
          </w:tcPr>
          <w:p w:rsidR="003C0768" w:rsidRPr="003C0768" w:rsidRDefault="003C0768" w:rsidP="00406CB6">
            <w:pPr>
              <w:pStyle w:val="1NUSbodycopy"/>
              <w:rPr>
                <w:b/>
              </w:rPr>
            </w:pPr>
            <w:r>
              <w:rPr>
                <w:b/>
              </w:rPr>
              <w:t>Wales</w:t>
            </w:r>
          </w:p>
        </w:tc>
        <w:tc>
          <w:tcPr>
            <w:tcW w:w="1547" w:type="dxa"/>
          </w:tcPr>
          <w:p w:rsidR="003C0768" w:rsidRPr="003C0768" w:rsidRDefault="003C0768" w:rsidP="00406CB6">
            <w:pPr>
              <w:pStyle w:val="1NUSbodycopy"/>
              <w:rPr>
                <w:b/>
              </w:rPr>
            </w:pPr>
            <w:r>
              <w:rPr>
                <w:b/>
              </w:rPr>
              <w:t>N Ireland</w:t>
            </w:r>
          </w:p>
        </w:tc>
        <w:tc>
          <w:tcPr>
            <w:tcW w:w="1547" w:type="dxa"/>
          </w:tcPr>
          <w:p w:rsidR="003C0768" w:rsidRPr="003C0768" w:rsidRDefault="003C0768" w:rsidP="00406CB6">
            <w:pPr>
              <w:pStyle w:val="1NUSbodycopy"/>
              <w:rPr>
                <w:b/>
              </w:rPr>
            </w:pPr>
            <w:r>
              <w:rPr>
                <w:b/>
              </w:rPr>
              <w:t>Total</w:t>
            </w:r>
          </w:p>
        </w:tc>
      </w:tr>
      <w:tr w:rsidR="003C0768" w:rsidTr="003C0768">
        <w:tc>
          <w:tcPr>
            <w:tcW w:w="1546" w:type="dxa"/>
          </w:tcPr>
          <w:p w:rsidR="003C0768" w:rsidRDefault="003C0768" w:rsidP="00406CB6">
            <w:pPr>
              <w:pStyle w:val="1NUSbodycopy"/>
            </w:pPr>
            <w:r>
              <w:t>Placement year</w:t>
            </w:r>
          </w:p>
        </w:tc>
        <w:tc>
          <w:tcPr>
            <w:tcW w:w="1546" w:type="dxa"/>
          </w:tcPr>
          <w:p w:rsidR="003C0768" w:rsidRPr="003C0768" w:rsidRDefault="003C0768" w:rsidP="00406CB6">
            <w:pPr>
              <w:pStyle w:val="1NUSbodycopy"/>
              <w:rPr>
                <w:i/>
              </w:rPr>
            </w:pPr>
            <w:r>
              <w:rPr>
                <w:i/>
              </w:rPr>
              <w:t>13,130</w:t>
            </w:r>
          </w:p>
        </w:tc>
        <w:tc>
          <w:tcPr>
            <w:tcW w:w="1547" w:type="dxa"/>
          </w:tcPr>
          <w:p w:rsidR="003C0768" w:rsidRPr="003C0768" w:rsidRDefault="003C0768" w:rsidP="00406CB6">
            <w:pPr>
              <w:pStyle w:val="1NUSbodycopy"/>
              <w:rPr>
                <w:i/>
              </w:rPr>
            </w:pPr>
            <w:r w:rsidRPr="003C0768">
              <w:rPr>
                <w:i/>
              </w:rPr>
              <w:t>195</w:t>
            </w:r>
          </w:p>
        </w:tc>
        <w:tc>
          <w:tcPr>
            <w:tcW w:w="1547" w:type="dxa"/>
          </w:tcPr>
          <w:p w:rsidR="003C0768" w:rsidRPr="003C0768" w:rsidRDefault="003C0768" w:rsidP="00406CB6">
            <w:pPr>
              <w:pStyle w:val="1NUSbodycopy"/>
              <w:rPr>
                <w:i/>
              </w:rPr>
            </w:pPr>
            <w:r w:rsidRPr="003C0768">
              <w:rPr>
                <w:i/>
              </w:rPr>
              <w:t>305</w:t>
            </w:r>
          </w:p>
        </w:tc>
        <w:tc>
          <w:tcPr>
            <w:tcW w:w="1547" w:type="dxa"/>
          </w:tcPr>
          <w:p w:rsidR="003C0768" w:rsidRPr="003C0768" w:rsidRDefault="003C0768" w:rsidP="00406CB6">
            <w:pPr>
              <w:pStyle w:val="1NUSbodycopy"/>
              <w:rPr>
                <w:i/>
              </w:rPr>
            </w:pPr>
            <w:r w:rsidRPr="003C0768">
              <w:rPr>
                <w:i/>
              </w:rPr>
              <w:t>1,195</w:t>
            </w:r>
          </w:p>
        </w:tc>
        <w:tc>
          <w:tcPr>
            <w:tcW w:w="1547" w:type="dxa"/>
          </w:tcPr>
          <w:p w:rsidR="003C0768" w:rsidRPr="003C0768" w:rsidRDefault="003C0768" w:rsidP="00406CB6">
            <w:pPr>
              <w:pStyle w:val="1NUSbodycopy"/>
              <w:rPr>
                <w:i/>
              </w:rPr>
            </w:pPr>
            <w:r>
              <w:rPr>
                <w:i/>
              </w:rPr>
              <w:t>14,825</w:t>
            </w:r>
          </w:p>
        </w:tc>
      </w:tr>
      <w:tr w:rsidR="003C0768" w:rsidTr="003C0768">
        <w:tc>
          <w:tcPr>
            <w:tcW w:w="1546" w:type="dxa"/>
          </w:tcPr>
          <w:p w:rsidR="003C0768" w:rsidRDefault="003C0768" w:rsidP="00406CB6">
            <w:pPr>
              <w:pStyle w:val="1NUSbodycopy"/>
            </w:pPr>
            <w:r>
              <w:t>Shorter Placement</w:t>
            </w:r>
          </w:p>
        </w:tc>
        <w:tc>
          <w:tcPr>
            <w:tcW w:w="1546" w:type="dxa"/>
          </w:tcPr>
          <w:p w:rsidR="003C0768" w:rsidRDefault="003C0768" w:rsidP="00406CB6">
            <w:pPr>
              <w:pStyle w:val="1NUSbodycopy"/>
            </w:pPr>
            <w:r>
              <w:t>1,125</w:t>
            </w:r>
          </w:p>
        </w:tc>
        <w:tc>
          <w:tcPr>
            <w:tcW w:w="1547" w:type="dxa"/>
          </w:tcPr>
          <w:p w:rsidR="003C0768" w:rsidRDefault="003C0768" w:rsidP="00406CB6">
            <w:pPr>
              <w:pStyle w:val="1NUSbodycopy"/>
            </w:pPr>
            <w:r>
              <w:t>105</w:t>
            </w:r>
          </w:p>
        </w:tc>
        <w:tc>
          <w:tcPr>
            <w:tcW w:w="1547" w:type="dxa"/>
          </w:tcPr>
          <w:p w:rsidR="003C0768" w:rsidRDefault="003C0768" w:rsidP="00406CB6">
            <w:pPr>
              <w:pStyle w:val="1NUSbodycopy"/>
            </w:pPr>
            <w:r>
              <w:t>35</w:t>
            </w:r>
          </w:p>
        </w:tc>
        <w:tc>
          <w:tcPr>
            <w:tcW w:w="1547" w:type="dxa"/>
          </w:tcPr>
          <w:p w:rsidR="003C0768" w:rsidRDefault="003C0768" w:rsidP="00406CB6">
            <w:pPr>
              <w:pStyle w:val="1NUSbodycopy"/>
            </w:pPr>
            <w:r>
              <w:t>0</w:t>
            </w:r>
          </w:p>
        </w:tc>
        <w:tc>
          <w:tcPr>
            <w:tcW w:w="1547" w:type="dxa"/>
          </w:tcPr>
          <w:p w:rsidR="003C0768" w:rsidRDefault="003C0768" w:rsidP="00406CB6">
            <w:pPr>
              <w:pStyle w:val="1NUSbodycopy"/>
            </w:pPr>
            <w:r>
              <w:t>1,265</w:t>
            </w:r>
          </w:p>
        </w:tc>
      </w:tr>
    </w:tbl>
    <w:p w:rsidR="00EE48AA" w:rsidRDefault="00EE48AA" w:rsidP="00406CB6">
      <w:pPr>
        <w:pStyle w:val="1NUSbodycopy"/>
      </w:pPr>
    </w:p>
    <w:p w:rsidR="003C0768" w:rsidRDefault="003C0768" w:rsidP="003C0768">
      <w:pPr>
        <w:pStyle w:val="1Subhead"/>
        <w:rPr>
          <w:lang w:eastAsia="en-GB"/>
        </w:rPr>
      </w:pPr>
      <w:r>
        <w:rPr>
          <w:lang w:eastAsia="en-GB"/>
        </w:rPr>
        <w:t xml:space="preserve">Degree outcomes </w:t>
      </w:r>
    </w:p>
    <w:p w:rsidR="003C0768" w:rsidRDefault="003C0768" w:rsidP="003C0768">
      <w:pPr>
        <w:pStyle w:val="1NUSbodycopy"/>
        <w:rPr>
          <w:sz w:val="24"/>
          <w:lang w:eastAsia="en-GB"/>
        </w:rPr>
      </w:pPr>
      <w:r>
        <w:rPr>
          <w:lang w:eastAsia="en-GB"/>
        </w:rPr>
        <w:t xml:space="preserve">9. They had a better profile of degree results. 71 per cent of placement students received a first or an upper second-class degree compared to 60 per cent of other students from four- year courses. </w:t>
      </w:r>
    </w:p>
    <w:p w:rsidR="003C0768" w:rsidRDefault="003C0768" w:rsidP="003C0768">
      <w:pPr>
        <w:pStyle w:val="1Subhead"/>
        <w:rPr>
          <w:lang w:eastAsia="en-GB"/>
        </w:rPr>
      </w:pPr>
      <w:r>
        <w:rPr>
          <w:lang w:eastAsia="en-GB"/>
        </w:rPr>
        <w:t xml:space="preserve">Graduate destinations </w:t>
      </w:r>
    </w:p>
    <w:p w:rsidR="003C0768" w:rsidRDefault="003C0768" w:rsidP="003C0768">
      <w:pPr>
        <w:pStyle w:val="1NUSbodycopy"/>
        <w:rPr>
          <w:sz w:val="24"/>
          <w:lang w:eastAsia="en-GB"/>
        </w:rPr>
      </w:pPr>
      <w:r>
        <w:rPr>
          <w:lang w:eastAsia="en-GB"/>
        </w:rPr>
        <w:t xml:space="preserve">10. Placement students were more likely to be employed six months after graduating and to have higher salaries than the average. </w:t>
      </w:r>
    </w:p>
    <w:p w:rsidR="003C0768" w:rsidRDefault="003C0768" w:rsidP="003C0768">
      <w:pPr>
        <w:pStyle w:val="1Subhead"/>
        <w:rPr>
          <w:lang w:eastAsia="en-GB"/>
        </w:rPr>
      </w:pPr>
      <w:r>
        <w:rPr>
          <w:lang w:eastAsia="en-GB"/>
        </w:rPr>
        <w:t xml:space="preserve">Erasmus Work Placements </w:t>
      </w:r>
    </w:p>
    <w:p w:rsidR="003C0768" w:rsidRDefault="003C0768" w:rsidP="003C0768">
      <w:pPr>
        <w:pStyle w:val="1NUSbodycopy"/>
        <w:rPr>
          <w:sz w:val="24"/>
          <w:lang w:eastAsia="en-GB"/>
        </w:rPr>
      </w:pPr>
      <w:r>
        <w:rPr>
          <w:lang w:eastAsia="en-GB"/>
        </w:rPr>
        <w:t xml:space="preserve">11. In recent years the Erasmus programme of studying abroad has been expanded to include work placements in Europe. With opportunities in 31 European countries and some grants available this is a growing area of student mobility, see table below: </w:t>
      </w:r>
    </w:p>
    <w:tbl>
      <w:tblPr>
        <w:tblStyle w:val="TableGrid"/>
        <w:tblW w:w="0" w:type="auto"/>
        <w:tblLook w:val="04A0" w:firstRow="1" w:lastRow="0" w:firstColumn="1" w:lastColumn="0" w:noHBand="0" w:noVBand="1"/>
      </w:tblPr>
      <w:tblGrid>
        <w:gridCol w:w="1546"/>
        <w:gridCol w:w="1546"/>
        <w:gridCol w:w="1547"/>
        <w:gridCol w:w="1547"/>
        <w:gridCol w:w="1547"/>
        <w:gridCol w:w="1547"/>
      </w:tblGrid>
      <w:tr w:rsidR="003C0768" w:rsidTr="003C0768">
        <w:tc>
          <w:tcPr>
            <w:tcW w:w="1546" w:type="dxa"/>
          </w:tcPr>
          <w:p w:rsidR="003C0768" w:rsidRDefault="003C0768" w:rsidP="00406CB6">
            <w:pPr>
              <w:pStyle w:val="1NUSbodycopy"/>
            </w:pPr>
            <w:r>
              <w:t>Work Placement Mobility: Numbers</w:t>
            </w:r>
          </w:p>
        </w:tc>
        <w:tc>
          <w:tcPr>
            <w:tcW w:w="1546" w:type="dxa"/>
          </w:tcPr>
          <w:p w:rsidR="003C0768" w:rsidRPr="003C0768" w:rsidRDefault="003C0768" w:rsidP="00406CB6">
            <w:pPr>
              <w:pStyle w:val="1NUSbodycopy"/>
              <w:rPr>
                <w:b/>
              </w:rPr>
            </w:pPr>
            <w:r>
              <w:rPr>
                <w:b/>
              </w:rPr>
              <w:t>England</w:t>
            </w:r>
          </w:p>
        </w:tc>
        <w:tc>
          <w:tcPr>
            <w:tcW w:w="1547" w:type="dxa"/>
          </w:tcPr>
          <w:p w:rsidR="003C0768" w:rsidRPr="003C0768" w:rsidRDefault="003C0768" w:rsidP="00406CB6">
            <w:pPr>
              <w:pStyle w:val="1NUSbodycopy"/>
              <w:rPr>
                <w:b/>
              </w:rPr>
            </w:pPr>
            <w:r>
              <w:rPr>
                <w:b/>
              </w:rPr>
              <w:t>Scotland</w:t>
            </w:r>
          </w:p>
        </w:tc>
        <w:tc>
          <w:tcPr>
            <w:tcW w:w="1547" w:type="dxa"/>
          </w:tcPr>
          <w:p w:rsidR="003C0768" w:rsidRPr="003C0768" w:rsidRDefault="003C0768" w:rsidP="00406CB6">
            <w:pPr>
              <w:pStyle w:val="1NUSbodycopy"/>
              <w:rPr>
                <w:b/>
              </w:rPr>
            </w:pPr>
            <w:r>
              <w:rPr>
                <w:b/>
              </w:rPr>
              <w:t>Wales</w:t>
            </w:r>
          </w:p>
        </w:tc>
        <w:tc>
          <w:tcPr>
            <w:tcW w:w="1547" w:type="dxa"/>
          </w:tcPr>
          <w:p w:rsidR="003C0768" w:rsidRPr="003C0768" w:rsidRDefault="003C0768" w:rsidP="00406CB6">
            <w:pPr>
              <w:pStyle w:val="1NUSbodycopy"/>
              <w:rPr>
                <w:b/>
              </w:rPr>
            </w:pPr>
            <w:r>
              <w:rPr>
                <w:b/>
              </w:rPr>
              <w:t>N Ireland</w:t>
            </w:r>
          </w:p>
        </w:tc>
        <w:tc>
          <w:tcPr>
            <w:tcW w:w="1547" w:type="dxa"/>
          </w:tcPr>
          <w:p w:rsidR="003C0768" w:rsidRPr="003C0768" w:rsidRDefault="003C0768" w:rsidP="00406CB6">
            <w:pPr>
              <w:pStyle w:val="1NUSbodycopy"/>
              <w:rPr>
                <w:b/>
              </w:rPr>
            </w:pPr>
            <w:r>
              <w:rPr>
                <w:b/>
              </w:rPr>
              <w:t>Total</w:t>
            </w:r>
          </w:p>
        </w:tc>
      </w:tr>
      <w:tr w:rsidR="003C0768" w:rsidTr="003C0768">
        <w:tc>
          <w:tcPr>
            <w:tcW w:w="1546" w:type="dxa"/>
          </w:tcPr>
          <w:p w:rsidR="003C0768" w:rsidRDefault="003C0768" w:rsidP="00406CB6">
            <w:pPr>
              <w:pStyle w:val="1NUSbodycopy"/>
            </w:pPr>
            <w:r>
              <w:t>2007/08 Outgoing statistics</w:t>
            </w:r>
          </w:p>
        </w:tc>
        <w:tc>
          <w:tcPr>
            <w:tcW w:w="1546" w:type="dxa"/>
          </w:tcPr>
          <w:p w:rsidR="003C0768" w:rsidRDefault="003C0768" w:rsidP="00406CB6">
            <w:pPr>
              <w:pStyle w:val="1NUSbodycopy"/>
            </w:pPr>
            <w:r>
              <w:t>2,320</w:t>
            </w:r>
          </w:p>
        </w:tc>
        <w:tc>
          <w:tcPr>
            <w:tcW w:w="1547" w:type="dxa"/>
          </w:tcPr>
          <w:p w:rsidR="003C0768" w:rsidRDefault="003C0768" w:rsidP="00406CB6">
            <w:pPr>
              <w:pStyle w:val="1NUSbodycopy"/>
            </w:pPr>
            <w:r>
              <w:t>233</w:t>
            </w:r>
          </w:p>
        </w:tc>
        <w:tc>
          <w:tcPr>
            <w:tcW w:w="1547" w:type="dxa"/>
          </w:tcPr>
          <w:p w:rsidR="003C0768" w:rsidRDefault="003C0768" w:rsidP="00406CB6">
            <w:pPr>
              <w:pStyle w:val="1NUSbodycopy"/>
            </w:pPr>
            <w:r>
              <w:t>41</w:t>
            </w:r>
          </w:p>
        </w:tc>
        <w:tc>
          <w:tcPr>
            <w:tcW w:w="1547" w:type="dxa"/>
          </w:tcPr>
          <w:p w:rsidR="003C0768" w:rsidRDefault="003C0768" w:rsidP="00406CB6">
            <w:pPr>
              <w:pStyle w:val="1NUSbodycopy"/>
            </w:pPr>
            <w:r>
              <w:t>132</w:t>
            </w:r>
          </w:p>
        </w:tc>
        <w:tc>
          <w:tcPr>
            <w:tcW w:w="1547" w:type="dxa"/>
          </w:tcPr>
          <w:p w:rsidR="003C0768" w:rsidRDefault="003C0768" w:rsidP="00406CB6">
            <w:pPr>
              <w:pStyle w:val="1NUSbodycopy"/>
            </w:pPr>
            <w:r>
              <w:t>2,726</w:t>
            </w:r>
          </w:p>
        </w:tc>
      </w:tr>
      <w:tr w:rsidR="003C0768" w:rsidTr="003C0768">
        <w:tc>
          <w:tcPr>
            <w:tcW w:w="1546" w:type="dxa"/>
          </w:tcPr>
          <w:p w:rsidR="003C0768" w:rsidRDefault="003C0768" w:rsidP="00406CB6">
            <w:pPr>
              <w:pStyle w:val="1NUSbodycopy"/>
            </w:pPr>
            <w:r>
              <w:t>2008/09 Outgoing Statistics</w:t>
            </w:r>
          </w:p>
        </w:tc>
        <w:tc>
          <w:tcPr>
            <w:tcW w:w="1546" w:type="dxa"/>
          </w:tcPr>
          <w:p w:rsidR="003C0768" w:rsidRPr="003C0768" w:rsidRDefault="003C0768" w:rsidP="00406CB6">
            <w:pPr>
              <w:pStyle w:val="1NUSbodycopy"/>
              <w:rPr>
                <w:i/>
              </w:rPr>
            </w:pPr>
            <w:r>
              <w:rPr>
                <w:i/>
              </w:rPr>
              <w:t>2,801</w:t>
            </w:r>
          </w:p>
        </w:tc>
        <w:tc>
          <w:tcPr>
            <w:tcW w:w="1547" w:type="dxa"/>
          </w:tcPr>
          <w:p w:rsidR="003C0768" w:rsidRPr="003C0768" w:rsidRDefault="003C0768" w:rsidP="00406CB6">
            <w:pPr>
              <w:pStyle w:val="1NUSbodycopy"/>
              <w:rPr>
                <w:i/>
              </w:rPr>
            </w:pPr>
            <w:r>
              <w:rPr>
                <w:i/>
              </w:rPr>
              <w:t>293</w:t>
            </w:r>
          </w:p>
        </w:tc>
        <w:tc>
          <w:tcPr>
            <w:tcW w:w="1547" w:type="dxa"/>
          </w:tcPr>
          <w:p w:rsidR="003C0768" w:rsidRPr="003C0768" w:rsidRDefault="003C0768" w:rsidP="00406CB6">
            <w:pPr>
              <w:pStyle w:val="1NUSbodycopy"/>
              <w:rPr>
                <w:i/>
              </w:rPr>
            </w:pPr>
            <w:r>
              <w:rPr>
                <w:i/>
              </w:rPr>
              <w:t>122</w:t>
            </w:r>
          </w:p>
        </w:tc>
        <w:tc>
          <w:tcPr>
            <w:tcW w:w="1547" w:type="dxa"/>
          </w:tcPr>
          <w:p w:rsidR="003C0768" w:rsidRPr="003C0768" w:rsidRDefault="003C0768" w:rsidP="00406CB6">
            <w:pPr>
              <w:pStyle w:val="1NUSbodycopy"/>
              <w:rPr>
                <w:i/>
              </w:rPr>
            </w:pPr>
            <w:r>
              <w:rPr>
                <w:i/>
              </w:rPr>
              <w:t>190</w:t>
            </w:r>
          </w:p>
        </w:tc>
        <w:tc>
          <w:tcPr>
            <w:tcW w:w="1547" w:type="dxa"/>
          </w:tcPr>
          <w:p w:rsidR="003C0768" w:rsidRPr="003C0768" w:rsidRDefault="003C0768" w:rsidP="00406CB6">
            <w:pPr>
              <w:pStyle w:val="1NUSbodycopy"/>
              <w:rPr>
                <w:i/>
              </w:rPr>
            </w:pPr>
            <w:r>
              <w:rPr>
                <w:i/>
              </w:rPr>
              <w:t>3,406</w:t>
            </w:r>
          </w:p>
        </w:tc>
      </w:tr>
    </w:tbl>
    <w:p w:rsidR="00EE48AA" w:rsidRDefault="00EE48AA" w:rsidP="00406CB6">
      <w:pPr>
        <w:pStyle w:val="1NUSbodycopy"/>
      </w:pPr>
    </w:p>
    <w:p w:rsidR="003C0768" w:rsidRPr="003C0768" w:rsidRDefault="003C0768" w:rsidP="003C0768">
      <w:pPr>
        <w:pStyle w:val="1NUSbodycopy"/>
        <w:rPr>
          <w:b/>
          <w:sz w:val="24"/>
          <w:lang w:eastAsia="en-GB"/>
        </w:rPr>
      </w:pPr>
      <w:r w:rsidRPr="003C0768">
        <w:rPr>
          <w:b/>
          <w:lang w:eastAsia="en-GB"/>
        </w:rPr>
        <w:t xml:space="preserve">Further information at: </w:t>
      </w:r>
    </w:p>
    <w:p w:rsidR="003C0768" w:rsidRDefault="003C0768" w:rsidP="003C0768">
      <w:pPr>
        <w:pStyle w:val="1NUSbodycopy"/>
        <w:rPr>
          <w:sz w:val="24"/>
          <w:lang w:eastAsia="en-GB"/>
        </w:rPr>
      </w:pPr>
      <w:r>
        <w:rPr>
          <w:lang w:eastAsia="en-GB"/>
        </w:rPr>
        <w:t xml:space="preserve">Attainment in Higher Education: Erasmus and Placement Students (HEFCE): </w:t>
      </w:r>
      <w:r>
        <w:rPr>
          <w:color w:val="0000FF"/>
          <w:lang w:eastAsia="en-GB"/>
        </w:rPr>
        <w:t xml:space="preserve">http://www.hefce.ac.uk/pubs/hefce/2009/09_44/09_44.pdf </w:t>
      </w:r>
    </w:p>
    <w:p w:rsidR="003C0768" w:rsidRDefault="003C0768" w:rsidP="003C0768">
      <w:pPr>
        <w:pStyle w:val="1NUSbodycopy"/>
        <w:rPr>
          <w:sz w:val="24"/>
          <w:lang w:eastAsia="en-GB"/>
        </w:rPr>
      </w:pPr>
      <w:r>
        <w:rPr>
          <w:lang w:eastAsia="en-GB"/>
        </w:rPr>
        <w:t xml:space="preserve">NUS Education Information: Outcomes of Institutional Audit – Work-based and placement learning: </w:t>
      </w:r>
    </w:p>
    <w:p w:rsidR="003C0768" w:rsidRDefault="003C0768" w:rsidP="003C0768">
      <w:pPr>
        <w:pStyle w:val="1NUSbodycopy"/>
        <w:rPr>
          <w:sz w:val="24"/>
          <w:lang w:eastAsia="en-GB"/>
        </w:rPr>
      </w:pPr>
      <w:r>
        <w:rPr>
          <w:color w:val="0000FF"/>
          <w:lang w:eastAsia="en-GB"/>
        </w:rPr>
        <w:t xml:space="preserve">http://resource.nusonline.co.uk/media/resource/EI%20Employability.pdf </w:t>
      </w:r>
    </w:p>
    <w:p w:rsidR="003C0768" w:rsidRDefault="003C0768" w:rsidP="003C0768">
      <w:pPr>
        <w:pStyle w:val="1NUSbodycopy"/>
        <w:rPr>
          <w:sz w:val="24"/>
          <w:lang w:eastAsia="en-GB"/>
        </w:rPr>
      </w:pPr>
      <w:r>
        <w:rPr>
          <w:lang w:eastAsia="en-GB"/>
        </w:rPr>
        <w:t xml:space="preserve">Erasmus Work Placements Guide (British Council): </w:t>
      </w:r>
    </w:p>
    <w:p w:rsidR="003C0768" w:rsidRDefault="003C0768" w:rsidP="003C0768">
      <w:pPr>
        <w:pStyle w:val="1NUSbodycopy"/>
        <w:rPr>
          <w:sz w:val="24"/>
          <w:lang w:eastAsia="en-GB"/>
        </w:rPr>
      </w:pPr>
      <w:r>
        <w:rPr>
          <w:color w:val="0000FF"/>
          <w:lang w:eastAsia="en-GB"/>
        </w:rPr>
        <w:t xml:space="preserve">http://www.britishcouncil.org/work_placements_guide.pdf </w:t>
      </w:r>
    </w:p>
    <w:p w:rsidR="00EE48AA" w:rsidRDefault="00EE48AA" w:rsidP="00406CB6">
      <w:pPr>
        <w:pStyle w:val="1NUSbodycopy"/>
      </w:pPr>
      <w:bookmarkStart w:id="0" w:name="_GoBack"/>
      <w:bookmarkEnd w:id="0"/>
    </w:p>
    <w:sectPr w:rsidR="00EE48AA" w:rsidSect="00135EB8">
      <w:headerReference w:type="default" r:id="rId8"/>
      <w:headerReference w:type="first" r:id="rId9"/>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68" w:rsidRDefault="003C0768">
      <w:r>
        <w:separator/>
      </w:r>
    </w:p>
  </w:endnote>
  <w:endnote w:type="continuationSeparator" w:id="0">
    <w:p w:rsidR="003C0768" w:rsidRDefault="003C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68" w:rsidRDefault="003C0768">
      <w:r>
        <w:separator/>
      </w:r>
    </w:p>
  </w:footnote>
  <w:footnote w:type="continuationSeparator" w:id="0">
    <w:p w:rsidR="003C0768" w:rsidRDefault="003C07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28" w:rsidRDefault="004E01E1">
    <w:pPr>
      <w:pStyle w:val="Header"/>
    </w:pPr>
    <w:r>
      <w:rPr>
        <w:noProof/>
      </w:rPr>
      <w:drawing>
        <wp:anchor distT="0" distB="0" distL="114300" distR="114300" simplePos="0" relativeHeight="251657216" behindDoc="1" locked="0" layoutInCell="1" allowOverlap="1">
          <wp:simplePos x="0" y="0"/>
          <wp:positionH relativeFrom="column">
            <wp:posOffset>-577215</wp:posOffset>
          </wp:positionH>
          <wp:positionV relativeFrom="paragraph">
            <wp:posOffset>-487045</wp:posOffset>
          </wp:positionV>
          <wp:extent cx="7632065" cy="10768965"/>
          <wp:effectExtent l="0" t="0" r="6985" b="0"/>
          <wp:wrapNone/>
          <wp:docPr id="2" name="Picture 10" descr="Description: Macintosh HD:Users:Philippa:Desktop:Archive:1. 2013–14:Basic templates (new brand):Basic portrait template:z. Files:NUS:Basic-portrait-templa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Philippa:Desktop:Archive:1. 2013–14:Basic templates (new brand):Basic portrait template:z. Files:NUS:Basic-portrait-templat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0B" w:rsidRDefault="004E01E1">
    <w:pPr>
      <w:pStyle w:val="Header"/>
    </w:pPr>
    <w:r>
      <w:rPr>
        <w:noProof/>
      </w:rPr>
      <w:drawing>
        <wp:anchor distT="0" distB="0" distL="114300" distR="114300" simplePos="0" relativeHeight="251658240" behindDoc="1" locked="0" layoutInCell="1" allowOverlap="1">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68"/>
    <w:rsid w:val="000B06F5"/>
    <w:rsid w:val="000C2488"/>
    <w:rsid w:val="0011070F"/>
    <w:rsid w:val="00135EB8"/>
    <w:rsid w:val="00191C30"/>
    <w:rsid w:val="00324630"/>
    <w:rsid w:val="0035055D"/>
    <w:rsid w:val="003C0768"/>
    <w:rsid w:val="00406CB6"/>
    <w:rsid w:val="0041431C"/>
    <w:rsid w:val="004E01E1"/>
    <w:rsid w:val="00560F79"/>
    <w:rsid w:val="00766F5E"/>
    <w:rsid w:val="007E1F49"/>
    <w:rsid w:val="0080524C"/>
    <w:rsid w:val="008055FD"/>
    <w:rsid w:val="009174C1"/>
    <w:rsid w:val="00921B5E"/>
    <w:rsid w:val="00964A15"/>
    <w:rsid w:val="009C4257"/>
    <w:rsid w:val="009F3528"/>
    <w:rsid w:val="00A55A21"/>
    <w:rsid w:val="00B35DF2"/>
    <w:rsid w:val="00BC5090"/>
    <w:rsid w:val="00C41AF6"/>
    <w:rsid w:val="00D602F5"/>
    <w:rsid w:val="00D77B0B"/>
    <w:rsid w:val="00DA5849"/>
    <w:rsid w:val="00E32E14"/>
    <w:rsid w:val="00E6691E"/>
    <w:rsid w:val="00EE48AA"/>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307C"/>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table" w:styleId="TableGrid">
    <w:name w:val="Table Grid"/>
    <w:basedOn w:val="TableNormal"/>
    <w:uiPriority w:val="59"/>
    <w:rsid w:val="003C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307C"/>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table" w:styleId="TableGrid">
    <w:name w:val="Table Grid"/>
    <w:basedOn w:val="TableNormal"/>
    <w:uiPriority w:val="59"/>
    <w:rsid w:val="003C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tommy.:Users:naomigirdler:Library:Application%20Support:Microsoft:Office:User%20Templates:My%20Templates:Generic%20blu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71EC-4C2A-704F-A4C2-6639962D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blue - portrait.dotx</Template>
  <TotalTime>7</TotalTime>
  <Pages>2</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NUS ORG</cp:lastModifiedBy>
  <cp:revision>1</cp:revision>
  <dcterms:created xsi:type="dcterms:W3CDTF">2015-01-12T17:07:00Z</dcterms:created>
  <dcterms:modified xsi:type="dcterms:W3CDTF">2015-01-12T17:14:00Z</dcterms:modified>
</cp:coreProperties>
</file>